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5E7C" w14:textId="77777777" w:rsidR="00B74D8B" w:rsidRPr="00E8669F" w:rsidRDefault="00B74D8B">
      <w:pPr>
        <w:rPr>
          <w:rFonts w:ascii="Arial" w:hAnsi="Arial" w:cs="Arial"/>
        </w:rPr>
      </w:pPr>
    </w:p>
    <w:p w14:paraId="477674BE" w14:textId="77777777" w:rsidR="00E8669F" w:rsidRPr="00E8669F" w:rsidRDefault="00E8669F" w:rsidP="00E8669F">
      <w:pPr>
        <w:spacing w:after="0"/>
        <w:jc w:val="center"/>
        <w:rPr>
          <w:rFonts w:ascii="Arial" w:hAnsi="Arial" w:cs="Arial"/>
          <w:b/>
          <w:sz w:val="28"/>
        </w:rPr>
      </w:pPr>
      <w:r w:rsidRPr="00E8669F">
        <w:rPr>
          <w:rFonts w:ascii="Arial" w:hAnsi="Arial" w:cs="Arial"/>
          <w:b/>
          <w:sz w:val="28"/>
        </w:rPr>
        <w:t>LICENSING ACT PANEL</w:t>
      </w:r>
    </w:p>
    <w:p w14:paraId="2669719F" w14:textId="77777777" w:rsidR="00E8669F" w:rsidRPr="00E8669F" w:rsidRDefault="00E8669F" w:rsidP="00E8669F">
      <w:pPr>
        <w:spacing w:after="0"/>
        <w:jc w:val="center"/>
        <w:rPr>
          <w:rFonts w:ascii="Arial" w:hAnsi="Arial" w:cs="Arial"/>
          <w:b/>
          <w:sz w:val="28"/>
        </w:rPr>
      </w:pPr>
    </w:p>
    <w:p w14:paraId="36389703" w14:textId="77777777" w:rsidR="00753032" w:rsidRPr="00E8669F" w:rsidRDefault="00E8669F" w:rsidP="00E8669F">
      <w:pPr>
        <w:spacing w:after="0"/>
        <w:jc w:val="center"/>
        <w:rPr>
          <w:rFonts w:ascii="Arial" w:hAnsi="Arial" w:cs="Arial"/>
          <w:b/>
          <w:sz w:val="28"/>
        </w:rPr>
      </w:pPr>
      <w:r w:rsidRPr="00E8669F">
        <w:rPr>
          <w:rFonts w:ascii="Arial" w:hAnsi="Arial" w:cs="Arial"/>
          <w:b/>
          <w:sz w:val="28"/>
        </w:rPr>
        <w:t>PROCEDURE FOR ALL HEARINGS BEFORE THE LICENSING PANEL TO DETERMINE ANY APPLICATIONS OR COMPLAINTS MADE UNDER THE LICENSING ACT 2003.</w:t>
      </w:r>
    </w:p>
    <w:p w14:paraId="3406150C" w14:textId="77777777" w:rsidR="00E8669F" w:rsidRPr="00E8669F" w:rsidRDefault="00E8669F" w:rsidP="00B74D8B">
      <w:pPr>
        <w:rPr>
          <w:rFonts w:ascii="Arial" w:hAnsi="Arial" w:cs="Arial"/>
          <w:b/>
        </w:rPr>
      </w:pPr>
    </w:p>
    <w:p w14:paraId="686247B9" w14:textId="77777777" w:rsidR="00B74D8B" w:rsidRPr="008434E4" w:rsidRDefault="00E8669F" w:rsidP="00E8669F">
      <w:pPr>
        <w:jc w:val="center"/>
        <w:rPr>
          <w:rFonts w:ascii="Arial" w:hAnsi="Arial" w:cs="Arial"/>
          <w:b/>
          <w:sz w:val="28"/>
        </w:rPr>
      </w:pPr>
      <w:r w:rsidRPr="008434E4">
        <w:rPr>
          <w:rFonts w:ascii="Arial" w:hAnsi="Arial" w:cs="Arial"/>
          <w:b/>
          <w:sz w:val="28"/>
        </w:rPr>
        <w:t>PRELIMINARY POINTS</w:t>
      </w:r>
    </w:p>
    <w:p w14:paraId="1D66604C" w14:textId="07E08AA7" w:rsidR="00B74D8B" w:rsidRPr="008434E4" w:rsidRDefault="00B74D8B" w:rsidP="00B74D8B">
      <w:pPr>
        <w:rPr>
          <w:rFonts w:ascii="Arial" w:hAnsi="Arial" w:cs="Arial"/>
          <w:sz w:val="28"/>
        </w:rPr>
      </w:pPr>
      <w:r w:rsidRPr="008434E4">
        <w:rPr>
          <w:rFonts w:ascii="Arial" w:hAnsi="Arial" w:cs="Arial"/>
          <w:sz w:val="28"/>
        </w:rPr>
        <w:t>It has been agreed by Licensing</w:t>
      </w:r>
      <w:r w:rsidR="00493A69">
        <w:rPr>
          <w:rFonts w:ascii="Arial" w:hAnsi="Arial" w:cs="Arial"/>
          <w:sz w:val="28"/>
        </w:rPr>
        <w:t xml:space="preserve"> and Public Safety</w:t>
      </w:r>
      <w:r w:rsidRPr="008434E4">
        <w:rPr>
          <w:rFonts w:ascii="Arial" w:hAnsi="Arial" w:cs="Arial"/>
          <w:sz w:val="28"/>
        </w:rPr>
        <w:t xml:space="preserve"> Committee that, in addition to the Declaration of any personal or prejudicial interest (in accordance with the Local Government Act 2000):</w:t>
      </w:r>
    </w:p>
    <w:p w14:paraId="7B890026" w14:textId="77777777" w:rsidR="00B74D8B" w:rsidRPr="008434E4" w:rsidRDefault="00B74D8B" w:rsidP="00B74D8B">
      <w:pPr>
        <w:pStyle w:val="ListParagraph"/>
        <w:numPr>
          <w:ilvl w:val="0"/>
          <w:numId w:val="1"/>
        </w:numPr>
        <w:rPr>
          <w:rFonts w:ascii="Arial" w:hAnsi="Arial" w:cs="Arial"/>
          <w:sz w:val="28"/>
        </w:rPr>
      </w:pPr>
      <w:r w:rsidRPr="008434E4">
        <w:rPr>
          <w:rFonts w:ascii="Arial" w:hAnsi="Arial" w:cs="Arial"/>
          <w:sz w:val="28"/>
        </w:rPr>
        <w:t>Any member in whose ward an application premises is situated will declare this and will not take part in the hearing of the application.</w:t>
      </w:r>
    </w:p>
    <w:p w14:paraId="51D7A904" w14:textId="375885E1" w:rsidR="00B74D8B" w:rsidRPr="008434E4" w:rsidRDefault="00B74D8B" w:rsidP="00B74D8B">
      <w:pPr>
        <w:pStyle w:val="ListParagraph"/>
        <w:numPr>
          <w:ilvl w:val="0"/>
          <w:numId w:val="1"/>
        </w:numPr>
        <w:rPr>
          <w:rFonts w:ascii="Arial" w:hAnsi="Arial" w:cs="Arial"/>
          <w:sz w:val="28"/>
        </w:rPr>
      </w:pPr>
      <w:r w:rsidRPr="008434E4">
        <w:rPr>
          <w:rFonts w:ascii="Arial" w:hAnsi="Arial" w:cs="Arial"/>
          <w:sz w:val="28"/>
        </w:rPr>
        <w:t>Any member of a Licensing Panel who wishes to either support or oppose the granting of a licence either personally or on behalf of their constituents, must attend either as a support</w:t>
      </w:r>
      <w:r w:rsidR="008B070B" w:rsidRPr="008434E4">
        <w:rPr>
          <w:rFonts w:ascii="Arial" w:hAnsi="Arial" w:cs="Arial"/>
          <w:sz w:val="28"/>
        </w:rPr>
        <w:t xml:space="preserve">er of the application or as an objector and sit in the public gallery. </w:t>
      </w:r>
      <w:r w:rsidR="00493A69">
        <w:rPr>
          <w:rFonts w:ascii="Arial" w:hAnsi="Arial" w:cs="Arial"/>
          <w:sz w:val="28"/>
        </w:rPr>
        <w:t>T</w:t>
      </w:r>
      <w:r w:rsidR="008B070B" w:rsidRPr="008434E4">
        <w:rPr>
          <w:rFonts w:ascii="Arial" w:hAnsi="Arial" w:cs="Arial"/>
          <w:sz w:val="28"/>
        </w:rPr>
        <w:t xml:space="preserve">hat </w:t>
      </w:r>
      <w:r w:rsidR="00783EB2">
        <w:rPr>
          <w:rFonts w:ascii="Arial" w:hAnsi="Arial" w:cs="Arial"/>
          <w:sz w:val="28"/>
        </w:rPr>
        <w:t>m</w:t>
      </w:r>
      <w:r w:rsidR="008B070B" w:rsidRPr="008434E4">
        <w:rPr>
          <w:rFonts w:ascii="Arial" w:hAnsi="Arial" w:cs="Arial"/>
          <w:sz w:val="28"/>
        </w:rPr>
        <w:t xml:space="preserve">ember may not </w:t>
      </w:r>
      <w:r w:rsidR="00493A69">
        <w:rPr>
          <w:rFonts w:ascii="Arial" w:hAnsi="Arial" w:cs="Arial"/>
          <w:sz w:val="28"/>
        </w:rPr>
        <w:t xml:space="preserve">sit on a Licensing Panel </w:t>
      </w:r>
      <w:r w:rsidR="008B070B" w:rsidRPr="008434E4">
        <w:rPr>
          <w:rFonts w:ascii="Arial" w:hAnsi="Arial" w:cs="Arial"/>
          <w:sz w:val="28"/>
        </w:rPr>
        <w:t xml:space="preserve">hearing </w:t>
      </w:r>
      <w:r w:rsidR="00493A69">
        <w:rPr>
          <w:rFonts w:ascii="Arial" w:hAnsi="Arial" w:cs="Arial"/>
          <w:sz w:val="28"/>
        </w:rPr>
        <w:t xml:space="preserve">for </w:t>
      </w:r>
      <w:r w:rsidR="008B070B" w:rsidRPr="008434E4">
        <w:rPr>
          <w:rFonts w:ascii="Arial" w:hAnsi="Arial" w:cs="Arial"/>
          <w:sz w:val="28"/>
        </w:rPr>
        <w:t>the application.</w:t>
      </w:r>
    </w:p>
    <w:p w14:paraId="597BD7FE" w14:textId="49BBB309" w:rsidR="008B070B" w:rsidRPr="008434E4" w:rsidRDefault="008B070B" w:rsidP="00E8669F">
      <w:pPr>
        <w:pStyle w:val="ListParagraph"/>
        <w:numPr>
          <w:ilvl w:val="0"/>
          <w:numId w:val="1"/>
        </w:numPr>
        <w:spacing w:after="0"/>
        <w:rPr>
          <w:rFonts w:ascii="Arial" w:hAnsi="Arial" w:cs="Arial"/>
          <w:sz w:val="28"/>
        </w:rPr>
      </w:pPr>
      <w:r w:rsidRPr="008434E4">
        <w:rPr>
          <w:rFonts w:ascii="Arial" w:hAnsi="Arial" w:cs="Arial"/>
          <w:sz w:val="28"/>
        </w:rPr>
        <w:t>Subject to Section 100A of the Local Government Act 1972, the Panel may exclude the public from all or part of the hearing where it considers that the public interest in doing so outweighs public interest in the hearing, or that part of the hearing, taking place in public. This will include, the exclusion of the public during its deliberations and its decision making.</w:t>
      </w:r>
    </w:p>
    <w:p w14:paraId="7F1A076F" w14:textId="77777777" w:rsidR="00F97912" w:rsidRPr="00E8669F" w:rsidRDefault="00F97912" w:rsidP="00E8669F">
      <w:pPr>
        <w:spacing w:after="0"/>
        <w:rPr>
          <w:rFonts w:ascii="Arial" w:hAnsi="Arial" w:cs="Arial"/>
        </w:rPr>
      </w:pPr>
    </w:p>
    <w:p w14:paraId="249C1733" w14:textId="77777777" w:rsidR="007063EC" w:rsidRPr="008434E4" w:rsidRDefault="00E8669F" w:rsidP="00E8669F">
      <w:pPr>
        <w:spacing w:after="0"/>
        <w:jc w:val="center"/>
        <w:rPr>
          <w:rFonts w:ascii="Arial" w:hAnsi="Arial" w:cs="Arial"/>
          <w:b/>
          <w:sz w:val="28"/>
        </w:rPr>
      </w:pPr>
      <w:r w:rsidRPr="008434E4">
        <w:rPr>
          <w:rFonts w:ascii="Arial" w:hAnsi="Arial" w:cs="Arial"/>
          <w:b/>
          <w:sz w:val="28"/>
        </w:rPr>
        <w:t>HEARING PROCESS</w:t>
      </w:r>
    </w:p>
    <w:p w14:paraId="1332CC55" w14:textId="77777777" w:rsidR="00043509" w:rsidRPr="008434E4" w:rsidRDefault="00043509" w:rsidP="00E8669F">
      <w:pPr>
        <w:spacing w:after="0"/>
        <w:rPr>
          <w:rFonts w:ascii="Arial" w:hAnsi="Arial" w:cs="Arial"/>
          <w:b/>
          <w:sz w:val="24"/>
        </w:rPr>
      </w:pPr>
    </w:p>
    <w:p w14:paraId="1ED59353" w14:textId="77777777" w:rsidR="00F97912" w:rsidRPr="008434E4" w:rsidRDefault="00F97912" w:rsidP="00E8669F">
      <w:pPr>
        <w:spacing w:after="0"/>
        <w:rPr>
          <w:rFonts w:ascii="Arial" w:hAnsi="Arial" w:cs="Arial"/>
          <w:sz w:val="28"/>
        </w:rPr>
      </w:pPr>
      <w:r w:rsidRPr="008434E4">
        <w:rPr>
          <w:rFonts w:ascii="Arial" w:hAnsi="Arial" w:cs="Arial"/>
          <w:sz w:val="28"/>
        </w:rPr>
        <w:t xml:space="preserve">Please note that the applicant in a review hearing is </w:t>
      </w:r>
      <w:r w:rsidR="009C3317" w:rsidRPr="008434E4">
        <w:rPr>
          <w:rFonts w:ascii="Arial" w:hAnsi="Arial" w:cs="Arial"/>
          <w:sz w:val="28"/>
        </w:rPr>
        <w:t>a</w:t>
      </w:r>
      <w:r w:rsidR="005D6EC1" w:rsidRPr="008434E4">
        <w:rPr>
          <w:rFonts w:ascii="Arial" w:hAnsi="Arial" w:cs="Arial"/>
          <w:sz w:val="28"/>
        </w:rPr>
        <w:t xml:space="preserve"> person w</w:t>
      </w:r>
      <w:r w:rsidR="009C3317" w:rsidRPr="008434E4">
        <w:rPr>
          <w:rFonts w:ascii="Arial" w:hAnsi="Arial" w:cs="Arial"/>
          <w:sz w:val="28"/>
        </w:rPr>
        <w:t xml:space="preserve">ho has applied to review the licence. </w:t>
      </w:r>
      <w:r w:rsidR="005D6EC1" w:rsidRPr="008434E4">
        <w:rPr>
          <w:rFonts w:ascii="Arial" w:hAnsi="Arial" w:cs="Arial"/>
          <w:sz w:val="28"/>
        </w:rPr>
        <w:t xml:space="preserve">This could be a responsible authority or a member of the public. </w:t>
      </w:r>
      <w:r w:rsidR="00651A0B" w:rsidRPr="008434E4">
        <w:rPr>
          <w:rFonts w:ascii="Arial" w:hAnsi="Arial" w:cs="Arial"/>
          <w:sz w:val="28"/>
        </w:rPr>
        <w:t xml:space="preserve">In this case the applicant is not the licence holder. </w:t>
      </w:r>
    </w:p>
    <w:p w14:paraId="0281A4B5" w14:textId="77777777" w:rsidR="007063EC" w:rsidRPr="008434E4" w:rsidRDefault="007063EC" w:rsidP="00E8669F">
      <w:pPr>
        <w:spacing w:after="0"/>
        <w:rPr>
          <w:rFonts w:ascii="Arial" w:hAnsi="Arial" w:cs="Arial"/>
          <w:b/>
          <w:sz w:val="24"/>
        </w:rPr>
      </w:pPr>
    </w:p>
    <w:p w14:paraId="42986728" w14:textId="77777777" w:rsidR="00F97912" w:rsidRPr="008434E4" w:rsidRDefault="00E8669F" w:rsidP="00E8669F">
      <w:pPr>
        <w:spacing w:after="0"/>
        <w:jc w:val="center"/>
        <w:rPr>
          <w:rFonts w:ascii="Arial" w:hAnsi="Arial" w:cs="Arial"/>
          <w:b/>
          <w:sz w:val="28"/>
        </w:rPr>
      </w:pPr>
      <w:r w:rsidRPr="008434E4">
        <w:rPr>
          <w:rFonts w:ascii="Arial" w:hAnsi="Arial" w:cs="Arial"/>
          <w:b/>
          <w:sz w:val="28"/>
        </w:rPr>
        <w:t>APPLICATION PROCESS PROCEDURE</w:t>
      </w:r>
    </w:p>
    <w:p w14:paraId="6BBA343C" w14:textId="77777777" w:rsidR="00E8669F" w:rsidRPr="008434E4" w:rsidRDefault="00E8669F" w:rsidP="00E8669F">
      <w:pPr>
        <w:spacing w:after="0"/>
        <w:jc w:val="center"/>
        <w:rPr>
          <w:rFonts w:ascii="Arial" w:hAnsi="Arial" w:cs="Arial"/>
          <w:b/>
          <w:sz w:val="32"/>
        </w:rPr>
      </w:pPr>
    </w:p>
    <w:p w14:paraId="1DB98E7F" w14:textId="18B70F9D" w:rsidR="00881EF0" w:rsidRPr="00881EF0" w:rsidRDefault="008B070B" w:rsidP="00881EF0">
      <w:pPr>
        <w:pStyle w:val="ListParagraph"/>
        <w:numPr>
          <w:ilvl w:val="0"/>
          <w:numId w:val="3"/>
        </w:numPr>
        <w:spacing w:after="20"/>
        <w:rPr>
          <w:rFonts w:ascii="Arial" w:hAnsi="Arial" w:cs="Arial"/>
          <w:sz w:val="28"/>
        </w:rPr>
      </w:pPr>
      <w:r w:rsidRPr="00881EF0">
        <w:rPr>
          <w:rFonts w:ascii="Arial" w:hAnsi="Arial" w:cs="Arial"/>
          <w:sz w:val="28"/>
        </w:rPr>
        <w:t>General introduction by the Chair</w:t>
      </w:r>
      <w:r w:rsidR="00881EF0" w:rsidRPr="00881EF0">
        <w:rPr>
          <w:rFonts w:ascii="Arial" w:hAnsi="Arial" w:cs="Arial"/>
          <w:sz w:val="28"/>
        </w:rPr>
        <w:t xml:space="preserve"> and the procedure to be followed in the hearing.</w:t>
      </w:r>
    </w:p>
    <w:p w14:paraId="729C7008" w14:textId="77777777" w:rsidR="00881EF0" w:rsidRDefault="00881EF0" w:rsidP="00881EF0">
      <w:pPr>
        <w:pStyle w:val="ListParagraph"/>
        <w:spacing w:after="20"/>
        <w:rPr>
          <w:rFonts w:ascii="Arial" w:hAnsi="Arial" w:cs="Arial"/>
          <w:sz w:val="28"/>
        </w:rPr>
      </w:pPr>
    </w:p>
    <w:p w14:paraId="0D947FED" w14:textId="77777777" w:rsidR="0075571A" w:rsidRPr="008434E4" w:rsidRDefault="0075571A" w:rsidP="00483D0A">
      <w:pPr>
        <w:pStyle w:val="ListParagraph"/>
        <w:spacing w:after="20"/>
        <w:rPr>
          <w:rFonts w:ascii="Arial" w:hAnsi="Arial" w:cs="Arial"/>
          <w:sz w:val="28"/>
        </w:rPr>
      </w:pPr>
    </w:p>
    <w:p w14:paraId="14FC57CE" w14:textId="77777777" w:rsidR="008B070B" w:rsidRPr="008434E4" w:rsidRDefault="008B070B" w:rsidP="00483D0A">
      <w:pPr>
        <w:pStyle w:val="ListParagraph"/>
        <w:numPr>
          <w:ilvl w:val="0"/>
          <w:numId w:val="3"/>
        </w:numPr>
        <w:spacing w:after="20"/>
        <w:rPr>
          <w:rFonts w:ascii="Arial" w:hAnsi="Arial" w:cs="Arial"/>
          <w:sz w:val="28"/>
        </w:rPr>
      </w:pPr>
      <w:r w:rsidRPr="008434E4">
        <w:rPr>
          <w:rFonts w:ascii="Arial" w:hAnsi="Arial" w:cs="Arial"/>
          <w:sz w:val="28"/>
        </w:rPr>
        <w:t>In accordance with Regulation 23 of the Licensing Act 2003 (Hearings) Regulations 2005 the Chair of the Panel will lead the discussion.</w:t>
      </w:r>
    </w:p>
    <w:p w14:paraId="2FC12FDC" w14:textId="77777777" w:rsidR="0075571A" w:rsidRPr="008434E4" w:rsidRDefault="0075571A" w:rsidP="00483D0A">
      <w:pPr>
        <w:pStyle w:val="ListParagraph"/>
        <w:spacing w:after="20"/>
        <w:rPr>
          <w:rFonts w:ascii="Arial" w:hAnsi="Arial" w:cs="Arial"/>
          <w:sz w:val="28"/>
        </w:rPr>
      </w:pPr>
    </w:p>
    <w:p w14:paraId="474F04EA" w14:textId="5004BF1A" w:rsidR="002E1441" w:rsidRDefault="008B070B" w:rsidP="003274A0">
      <w:pPr>
        <w:pStyle w:val="ListParagraph"/>
        <w:numPr>
          <w:ilvl w:val="0"/>
          <w:numId w:val="3"/>
        </w:numPr>
        <w:spacing w:after="20"/>
        <w:rPr>
          <w:rFonts w:ascii="Arial" w:hAnsi="Arial" w:cs="Arial"/>
          <w:sz w:val="28"/>
        </w:rPr>
      </w:pPr>
      <w:r w:rsidRPr="00881EF0">
        <w:rPr>
          <w:rFonts w:ascii="Arial" w:hAnsi="Arial" w:cs="Arial"/>
          <w:sz w:val="28"/>
        </w:rPr>
        <w:t xml:space="preserve">A Licensing Officer will briefly outline the </w:t>
      </w:r>
      <w:r w:rsidR="00641CCF">
        <w:rPr>
          <w:rFonts w:ascii="Arial" w:hAnsi="Arial" w:cs="Arial"/>
          <w:sz w:val="28"/>
        </w:rPr>
        <w:t>application.</w:t>
      </w:r>
    </w:p>
    <w:p w14:paraId="44830254" w14:textId="77777777" w:rsidR="00641CCF" w:rsidRPr="00641CCF" w:rsidRDefault="00641CCF" w:rsidP="00641CCF">
      <w:pPr>
        <w:pStyle w:val="ListParagraph"/>
        <w:rPr>
          <w:rFonts w:ascii="Arial" w:hAnsi="Arial" w:cs="Arial"/>
          <w:sz w:val="28"/>
        </w:rPr>
      </w:pPr>
    </w:p>
    <w:p w14:paraId="61243145" w14:textId="77777777" w:rsidR="00641CCF" w:rsidRDefault="00641CCF" w:rsidP="00641CCF">
      <w:pPr>
        <w:pStyle w:val="ListParagraph"/>
        <w:spacing w:after="20"/>
        <w:ind w:left="643"/>
        <w:rPr>
          <w:rFonts w:ascii="Arial" w:hAnsi="Arial" w:cs="Arial"/>
          <w:sz w:val="28"/>
        </w:rPr>
      </w:pPr>
    </w:p>
    <w:p w14:paraId="48AC0997" w14:textId="77777777" w:rsidR="008D4EA0" w:rsidRDefault="008D4EA0" w:rsidP="00483D0A">
      <w:pPr>
        <w:pStyle w:val="ListParagraph"/>
        <w:spacing w:after="20"/>
        <w:rPr>
          <w:rFonts w:ascii="Arial" w:hAnsi="Arial" w:cs="Arial"/>
          <w:sz w:val="28"/>
        </w:rPr>
      </w:pPr>
    </w:p>
    <w:p w14:paraId="685AD079" w14:textId="7EFCB215" w:rsidR="002E1441" w:rsidRDefault="002E1441" w:rsidP="00483D0A">
      <w:pPr>
        <w:pStyle w:val="ListParagraph"/>
        <w:spacing w:after="20"/>
        <w:rPr>
          <w:rFonts w:ascii="Arial" w:hAnsi="Arial" w:cs="Arial"/>
          <w:sz w:val="28"/>
        </w:rPr>
      </w:pPr>
    </w:p>
    <w:p w14:paraId="3F48C0B2" w14:textId="77777777" w:rsidR="002E1441" w:rsidRPr="008434E4" w:rsidRDefault="002E1441" w:rsidP="00483D0A">
      <w:pPr>
        <w:pStyle w:val="ListParagraph"/>
        <w:spacing w:after="20"/>
        <w:rPr>
          <w:rFonts w:ascii="Arial" w:hAnsi="Arial" w:cs="Arial"/>
          <w:sz w:val="28"/>
        </w:rPr>
      </w:pPr>
    </w:p>
    <w:p w14:paraId="396C450F" w14:textId="39486B89" w:rsidR="008B070B" w:rsidRDefault="008B070B" w:rsidP="00483D0A">
      <w:pPr>
        <w:pStyle w:val="ListParagraph"/>
        <w:numPr>
          <w:ilvl w:val="0"/>
          <w:numId w:val="3"/>
        </w:numPr>
        <w:spacing w:after="20"/>
        <w:rPr>
          <w:rFonts w:ascii="Arial" w:hAnsi="Arial" w:cs="Arial"/>
          <w:sz w:val="28"/>
        </w:rPr>
      </w:pPr>
      <w:r w:rsidRPr="008434E4">
        <w:rPr>
          <w:rFonts w:ascii="Arial" w:hAnsi="Arial" w:cs="Arial"/>
          <w:sz w:val="28"/>
        </w:rPr>
        <w:t>Applicant(s) Case</w:t>
      </w:r>
      <w:r w:rsidR="00E8669F" w:rsidRPr="008434E4">
        <w:rPr>
          <w:rFonts w:ascii="Arial" w:hAnsi="Arial" w:cs="Arial"/>
          <w:sz w:val="28"/>
        </w:rPr>
        <w:t>:</w:t>
      </w:r>
    </w:p>
    <w:p w14:paraId="2A5231A0" w14:textId="7FB50AEE" w:rsidR="00C07D19" w:rsidRDefault="00C07D19" w:rsidP="00C07D19">
      <w:pPr>
        <w:pStyle w:val="ListParagraph"/>
        <w:spacing w:after="20"/>
        <w:ind w:left="643"/>
        <w:rPr>
          <w:rFonts w:ascii="Arial" w:hAnsi="Arial" w:cs="Arial"/>
          <w:sz w:val="28"/>
        </w:rPr>
      </w:pPr>
      <w:r>
        <w:rPr>
          <w:rFonts w:ascii="Arial" w:hAnsi="Arial" w:cs="Arial"/>
          <w:sz w:val="28"/>
        </w:rPr>
        <w:t xml:space="preserve">(Responsible authority if for a Review): </w:t>
      </w:r>
    </w:p>
    <w:p w14:paraId="72F41ACE" w14:textId="77777777" w:rsidR="002E1441" w:rsidRPr="008434E4" w:rsidRDefault="002E1441" w:rsidP="002E1441">
      <w:pPr>
        <w:pStyle w:val="ListParagraph"/>
        <w:spacing w:after="20"/>
        <w:ind w:left="643"/>
        <w:rPr>
          <w:rFonts w:ascii="Arial" w:hAnsi="Arial" w:cs="Arial"/>
          <w:sz w:val="28"/>
        </w:rPr>
      </w:pPr>
    </w:p>
    <w:p w14:paraId="09A217B6" w14:textId="77777777" w:rsidR="00E70350" w:rsidRPr="008434E4" w:rsidRDefault="00700302" w:rsidP="00E70350">
      <w:pPr>
        <w:pStyle w:val="ListParagraph"/>
        <w:numPr>
          <w:ilvl w:val="0"/>
          <w:numId w:val="6"/>
        </w:numPr>
        <w:spacing w:after="20"/>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5AF6E958" wp14:editId="4D62C3CA">
                <wp:simplePos x="0" y="0"/>
                <wp:positionH relativeFrom="column">
                  <wp:posOffset>5794265</wp:posOffset>
                </wp:positionH>
                <wp:positionV relativeFrom="paragraph">
                  <wp:posOffset>1032786</wp:posOffset>
                </wp:positionV>
                <wp:extent cx="1208598"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8598"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E8332" w14:textId="6F3DA7BD" w:rsidR="00700302" w:rsidRPr="00700302" w:rsidRDefault="00700302" w:rsidP="00700302">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6E958" id="_x0000_t202" coordsize="21600,21600" o:spt="202" path="m,l,21600r21600,l21600,xe">
                <v:stroke joinstyle="miter"/>
                <v:path gradientshapeok="t" o:connecttype="rect"/>
              </v:shapetype>
              <v:shape id="Text Box 1" o:spid="_x0000_s1026" type="#_x0000_t202" style="position:absolute;left:0;text-align:left;margin-left:456.25pt;margin-top:81.3pt;width:95.1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" fillcolor="white [3201]" stroked="f" strokeweight=".5pt">
                <v:textbox>
                  <w:txbxContent>
                    <w:p w14:paraId="775E8332" w14:textId="6F3DA7BD" w:rsidR="00700302" w:rsidRPr="00700302" w:rsidRDefault="00700302" w:rsidP="00700302">
                      <w:pPr>
                        <w:jc w:val="center"/>
                        <w:rPr>
                          <w:sz w:val="32"/>
                        </w:rPr>
                      </w:pPr>
                    </w:p>
                  </w:txbxContent>
                </v:textbox>
              </v:shape>
            </w:pict>
          </mc:Fallback>
        </mc:AlternateContent>
      </w:r>
      <w:r w:rsidR="0075571A" w:rsidRPr="008434E4">
        <w:rPr>
          <w:rFonts w:ascii="Arial" w:hAnsi="Arial" w:cs="Arial"/>
          <w:sz w:val="28"/>
        </w:rPr>
        <w:t xml:space="preserve">The </w:t>
      </w:r>
      <w:r w:rsidR="00E70350" w:rsidRPr="008434E4">
        <w:rPr>
          <w:rFonts w:ascii="Arial" w:hAnsi="Arial" w:cs="Arial"/>
          <w:sz w:val="28"/>
        </w:rPr>
        <w:t xml:space="preserve">applicant(s) will </w:t>
      </w:r>
      <w:r w:rsidR="00A170EB" w:rsidRPr="008434E4">
        <w:rPr>
          <w:rFonts w:ascii="Arial" w:hAnsi="Arial" w:cs="Arial"/>
          <w:sz w:val="28"/>
        </w:rPr>
        <w:t xml:space="preserve">be invited to </w:t>
      </w:r>
      <w:r w:rsidR="00E70350" w:rsidRPr="008434E4">
        <w:rPr>
          <w:rFonts w:ascii="Arial" w:hAnsi="Arial" w:cs="Arial"/>
          <w:sz w:val="28"/>
        </w:rPr>
        <w:t xml:space="preserve">put forward </w:t>
      </w:r>
      <w:r w:rsidR="00A170EB" w:rsidRPr="008434E4">
        <w:rPr>
          <w:rFonts w:ascii="Arial" w:hAnsi="Arial" w:cs="Arial"/>
          <w:sz w:val="28"/>
        </w:rPr>
        <w:t xml:space="preserve">any information in support of their application including the calling of witnesses. </w:t>
      </w:r>
    </w:p>
    <w:p w14:paraId="2A744AA1" w14:textId="77777777" w:rsidR="00E70350" w:rsidRPr="008434E4" w:rsidRDefault="00E70350" w:rsidP="00483D0A">
      <w:pPr>
        <w:spacing w:after="20"/>
        <w:ind w:left="720"/>
        <w:rPr>
          <w:rFonts w:ascii="Arial" w:hAnsi="Arial" w:cs="Arial"/>
          <w:sz w:val="28"/>
        </w:rPr>
      </w:pPr>
    </w:p>
    <w:p w14:paraId="4A5FCE17" w14:textId="77777777" w:rsidR="00A170EB" w:rsidRPr="008434E4" w:rsidRDefault="00E70350" w:rsidP="00A170EB">
      <w:pPr>
        <w:pStyle w:val="ListParagraph"/>
        <w:numPr>
          <w:ilvl w:val="0"/>
          <w:numId w:val="6"/>
        </w:numPr>
        <w:spacing w:after="20"/>
        <w:rPr>
          <w:rFonts w:ascii="Arial" w:hAnsi="Arial" w:cs="Arial"/>
          <w:sz w:val="28"/>
        </w:rPr>
      </w:pPr>
      <w:r w:rsidRPr="008434E4">
        <w:rPr>
          <w:rFonts w:ascii="Arial" w:hAnsi="Arial" w:cs="Arial"/>
          <w:sz w:val="28"/>
        </w:rPr>
        <w:t xml:space="preserve">The </w:t>
      </w:r>
      <w:r w:rsidR="0075571A" w:rsidRPr="008434E4">
        <w:rPr>
          <w:rFonts w:ascii="Arial" w:hAnsi="Arial" w:cs="Arial"/>
          <w:sz w:val="28"/>
        </w:rPr>
        <w:t>objector(s</w:t>
      </w:r>
      <w:r w:rsidR="00A170EB" w:rsidRPr="008434E4">
        <w:rPr>
          <w:rFonts w:ascii="Arial" w:hAnsi="Arial" w:cs="Arial"/>
          <w:sz w:val="28"/>
        </w:rPr>
        <w:t xml:space="preserve">) and/or representatives, </w:t>
      </w:r>
      <w:r w:rsidR="0075571A" w:rsidRPr="008434E4">
        <w:rPr>
          <w:rFonts w:ascii="Arial" w:hAnsi="Arial" w:cs="Arial"/>
          <w:sz w:val="28"/>
        </w:rPr>
        <w:t>the Panel</w:t>
      </w:r>
      <w:r w:rsidR="00A170EB" w:rsidRPr="008434E4">
        <w:rPr>
          <w:rFonts w:ascii="Arial" w:hAnsi="Arial" w:cs="Arial"/>
          <w:sz w:val="28"/>
        </w:rPr>
        <w:t xml:space="preserve"> and any other Responsible Authority</w:t>
      </w:r>
      <w:r w:rsidR="0075571A" w:rsidRPr="008434E4">
        <w:rPr>
          <w:rFonts w:ascii="Arial" w:hAnsi="Arial" w:cs="Arial"/>
          <w:sz w:val="28"/>
        </w:rPr>
        <w:t xml:space="preserve"> may</w:t>
      </w:r>
      <w:r w:rsidR="00A170EB" w:rsidRPr="008434E4">
        <w:rPr>
          <w:rFonts w:ascii="Arial" w:hAnsi="Arial" w:cs="Arial"/>
          <w:sz w:val="28"/>
        </w:rPr>
        <w:t xml:space="preserve"> ask questions of the applicant, </w:t>
      </w:r>
      <w:proofErr w:type="gramStart"/>
      <w:r w:rsidR="00A170EB" w:rsidRPr="008434E4">
        <w:rPr>
          <w:rFonts w:ascii="Arial" w:hAnsi="Arial" w:cs="Arial"/>
          <w:sz w:val="28"/>
        </w:rPr>
        <w:t>witnesses</w:t>
      </w:r>
      <w:proofErr w:type="gramEnd"/>
      <w:r w:rsidR="00A170EB" w:rsidRPr="008434E4">
        <w:rPr>
          <w:rFonts w:ascii="Arial" w:hAnsi="Arial" w:cs="Arial"/>
          <w:sz w:val="28"/>
        </w:rPr>
        <w:t xml:space="preserve"> </w:t>
      </w:r>
      <w:r w:rsidR="0075571A" w:rsidRPr="008434E4">
        <w:rPr>
          <w:rFonts w:ascii="Arial" w:hAnsi="Arial" w:cs="Arial"/>
          <w:sz w:val="28"/>
        </w:rPr>
        <w:t>and/or their representatives.</w:t>
      </w:r>
    </w:p>
    <w:p w14:paraId="58722CC2" w14:textId="77777777" w:rsidR="00A170EB" w:rsidRPr="008434E4" w:rsidRDefault="00A170EB" w:rsidP="00A170EB">
      <w:pPr>
        <w:pStyle w:val="ListParagraph"/>
        <w:rPr>
          <w:rFonts w:ascii="Arial" w:hAnsi="Arial" w:cs="Arial"/>
          <w:color w:val="FF0000"/>
          <w:sz w:val="28"/>
        </w:rPr>
      </w:pPr>
    </w:p>
    <w:p w14:paraId="2F2BF79A" w14:textId="79135A21" w:rsidR="006C61AD" w:rsidRPr="008434E4" w:rsidRDefault="006C61AD" w:rsidP="00A170EB">
      <w:pPr>
        <w:pStyle w:val="ListParagraph"/>
        <w:numPr>
          <w:ilvl w:val="0"/>
          <w:numId w:val="3"/>
        </w:numPr>
        <w:spacing w:after="20"/>
        <w:rPr>
          <w:rFonts w:ascii="Arial" w:hAnsi="Arial" w:cs="Arial"/>
          <w:sz w:val="28"/>
        </w:rPr>
      </w:pPr>
      <w:r w:rsidRPr="008434E4">
        <w:rPr>
          <w:rFonts w:ascii="Arial" w:hAnsi="Arial" w:cs="Arial"/>
          <w:sz w:val="28"/>
        </w:rPr>
        <w:t>Responsible Authorities</w:t>
      </w:r>
      <w:r w:rsidR="00F32580">
        <w:rPr>
          <w:rFonts w:ascii="Arial" w:hAnsi="Arial" w:cs="Arial"/>
          <w:sz w:val="28"/>
        </w:rPr>
        <w:t>:</w:t>
      </w:r>
    </w:p>
    <w:p w14:paraId="44C6A2B7" w14:textId="77777777" w:rsidR="007063EC" w:rsidRPr="008434E4" w:rsidRDefault="00A170EB" w:rsidP="00C90564">
      <w:pPr>
        <w:pStyle w:val="ListParagraph"/>
        <w:numPr>
          <w:ilvl w:val="0"/>
          <w:numId w:val="8"/>
        </w:numPr>
        <w:spacing w:after="20"/>
        <w:rPr>
          <w:rFonts w:ascii="Arial" w:hAnsi="Arial" w:cs="Arial"/>
          <w:sz w:val="28"/>
        </w:rPr>
      </w:pPr>
      <w:r w:rsidRPr="008434E4">
        <w:rPr>
          <w:rFonts w:ascii="Arial" w:hAnsi="Arial" w:cs="Arial"/>
          <w:sz w:val="28"/>
        </w:rPr>
        <w:t>Any other Responsible Authority (who has made representations) will be invited to put forward any information in support of their representation including the calling of witnesses.</w:t>
      </w:r>
      <w:r w:rsidR="00E8669F" w:rsidRPr="008434E4">
        <w:rPr>
          <w:rFonts w:ascii="Arial" w:hAnsi="Arial" w:cs="Arial"/>
          <w:sz w:val="28"/>
        </w:rPr>
        <w:br/>
      </w:r>
    </w:p>
    <w:p w14:paraId="135D232B" w14:textId="77777777" w:rsidR="006C61AD" w:rsidRPr="008434E4" w:rsidRDefault="006C61AD" w:rsidP="00C90564">
      <w:pPr>
        <w:pStyle w:val="ListParagraph"/>
        <w:numPr>
          <w:ilvl w:val="0"/>
          <w:numId w:val="8"/>
        </w:numPr>
        <w:spacing w:after="20"/>
        <w:rPr>
          <w:rFonts w:ascii="Arial" w:hAnsi="Arial" w:cs="Arial"/>
          <w:sz w:val="28"/>
        </w:rPr>
      </w:pPr>
      <w:r w:rsidRPr="008434E4">
        <w:rPr>
          <w:rFonts w:ascii="Arial" w:hAnsi="Arial" w:cs="Arial"/>
          <w:sz w:val="28"/>
        </w:rPr>
        <w:t xml:space="preserve">The objector(s) and/or representatives, the Panel and applicant(s) may ask questions of the Responsible Authority, </w:t>
      </w:r>
      <w:proofErr w:type="gramStart"/>
      <w:r w:rsidRPr="008434E4">
        <w:rPr>
          <w:rFonts w:ascii="Arial" w:hAnsi="Arial" w:cs="Arial"/>
          <w:sz w:val="28"/>
        </w:rPr>
        <w:t>witnesses</w:t>
      </w:r>
      <w:proofErr w:type="gramEnd"/>
      <w:r w:rsidRPr="008434E4">
        <w:rPr>
          <w:rFonts w:ascii="Arial" w:hAnsi="Arial" w:cs="Arial"/>
          <w:sz w:val="28"/>
        </w:rPr>
        <w:t xml:space="preserve"> and/or their representatives.</w:t>
      </w:r>
    </w:p>
    <w:p w14:paraId="771AF68B" w14:textId="77777777" w:rsidR="00483D0A" w:rsidRPr="008434E4" w:rsidRDefault="00483D0A" w:rsidP="00E8669F">
      <w:pPr>
        <w:spacing w:after="20"/>
        <w:rPr>
          <w:rFonts w:ascii="Arial" w:hAnsi="Arial" w:cs="Arial"/>
          <w:sz w:val="28"/>
        </w:rPr>
      </w:pPr>
    </w:p>
    <w:p w14:paraId="60712F1A" w14:textId="77777777" w:rsidR="0075571A" w:rsidRPr="008434E4" w:rsidRDefault="00E70350" w:rsidP="00483D0A">
      <w:pPr>
        <w:pStyle w:val="ListParagraph"/>
        <w:numPr>
          <w:ilvl w:val="0"/>
          <w:numId w:val="3"/>
        </w:numPr>
        <w:spacing w:after="20"/>
        <w:rPr>
          <w:rFonts w:ascii="Arial" w:hAnsi="Arial" w:cs="Arial"/>
          <w:sz w:val="28"/>
        </w:rPr>
      </w:pPr>
      <w:r w:rsidRPr="008434E4">
        <w:rPr>
          <w:rFonts w:ascii="Arial" w:hAnsi="Arial" w:cs="Arial"/>
          <w:sz w:val="28"/>
        </w:rPr>
        <w:t xml:space="preserve">The </w:t>
      </w:r>
      <w:r w:rsidR="0075571A" w:rsidRPr="008434E4">
        <w:rPr>
          <w:rFonts w:ascii="Arial" w:hAnsi="Arial" w:cs="Arial"/>
          <w:sz w:val="28"/>
        </w:rPr>
        <w:t>Objector(s) Cases(s)</w:t>
      </w:r>
      <w:r w:rsidR="00E8669F" w:rsidRPr="008434E4">
        <w:rPr>
          <w:rFonts w:ascii="Arial" w:hAnsi="Arial" w:cs="Arial"/>
          <w:sz w:val="28"/>
        </w:rPr>
        <w:t>:</w:t>
      </w:r>
    </w:p>
    <w:p w14:paraId="7128D4FB" w14:textId="77777777" w:rsidR="00E70350" w:rsidRPr="008434E4" w:rsidRDefault="00E70350" w:rsidP="00E70350">
      <w:pPr>
        <w:pStyle w:val="ListParagraph"/>
        <w:numPr>
          <w:ilvl w:val="0"/>
          <w:numId w:val="7"/>
        </w:numPr>
        <w:spacing w:after="20"/>
        <w:rPr>
          <w:rFonts w:ascii="Arial" w:hAnsi="Arial" w:cs="Arial"/>
          <w:sz w:val="28"/>
        </w:rPr>
      </w:pPr>
      <w:r w:rsidRPr="008434E4">
        <w:rPr>
          <w:rFonts w:ascii="Arial" w:hAnsi="Arial" w:cs="Arial"/>
          <w:sz w:val="28"/>
        </w:rPr>
        <w:t xml:space="preserve">The objector(s) will </w:t>
      </w:r>
      <w:r w:rsidR="00A170EB" w:rsidRPr="008434E4">
        <w:rPr>
          <w:rFonts w:ascii="Arial" w:hAnsi="Arial" w:cs="Arial"/>
          <w:sz w:val="28"/>
        </w:rPr>
        <w:t>be invited to put forward any information in support of their objection including the calling of witnesses.</w:t>
      </w:r>
    </w:p>
    <w:p w14:paraId="467F8789" w14:textId="77777777" w:rsidR="00E70350" w:rsidRPr="008434E4" w:rsidRDefault="00E70350" w:rsidP="00E70350">
      <w:pPr>
        <w:pStyle w:val="ListParagraph"/>
        <w:spacing w:after="20"/>
        <w:ind w:left="1080"/>
        <w:rPr>
          <w:rFonts w:ascii="Arial" w:hAnsi="Arial" w:cs="Arial"/>
          <w:sz w:val="28"/>
        </w:rPr>
      </w:pPr>
    </w:p>
    <w:p w14:paraId="257F7168" w14:textId="77777777" w:rsidR="0075571A" w:rsidRPr="008434E4" w:rsidRDefault="00E70350" w:rsidP="00E70350">
      <w:pPr>
        <w:pStyle w:val="ListParagraph"/>
        <w:numPr>
          <w:ilvl w:val="0"/>
          <w:numId w:val="7"/>
        </w:numPr>
        <w:spacing w:after="20"/>
        <w:rPr>
          <w:rFonts w:ascii="Arial" w:hAnsi="Arial" w:cs="Arial"/>
          <w:sz w:val="28"/>
        </w:rPr>
      </w:pPr>
      <w:r w:rsidRPr="008434E4">
        <w:rPr>
          <w:rFonts w:ascii="Arial" w:hAnsi="Arial" w:cs="Arial"/>
          <w:sz w:val="28"/>
        </w:rPr>
        <w:t xml:space="preserve">The applicant(s) </w:t>
      </w:r>
      <w:r w:rsidR="0075571A" w:rsidRPr="008434E4">
        <w:rPr>
          <w:rFonts w:ascii="Arial" w:hAnsi="Arial" w:cs="Arial"/>
          <w:sz w:val="28"/>
        </w:rPr>
        <w:t>a</w:t>
      </w:r>
      <w:r w:rsidR="00A170EB" w:rsidRPr="008434E4">
        <w:rPr>
          <w:rFonts w:ascii="Arial" w:hAnsi="Arial" w:cs="Arial"/>
          <w:sz w:val="28"/>
        </w:rPr>
        <w:t xml:space="preserve">nd/or their representatives, the </w:t>
      </w:r>
      <w:r w:rsidR="0075571A" w:rsidRPr="008434E4">
        <w:rPr>
          <w:rFonts w:ascii="Arial" w:hAnsi="Arial" w:cs="Arial"/>
          <w:sz w:val="28"/>
        </w:rPr>
        <w:t xml:space="preserve">panel </w:t>
      </w:r>
      <w:r w:rsidR="00A170EB" w:rsidRPr="008434E4">
        <w:rPr>
          <w:rFonts w:ascii="Arial" w:hAnsi="Arial" w:cs="Arial"/>
          <w:sz w:val="28"/>
        </w:rPr>
        <w:t xml:space="preserve">and any other Responsible Authority </w:t>
      </w:r>
      <w:r w:rsidR="0075571A" w:rsidRPr="008434E4">
        <w:rPr>
          <w:rFonts w:ascii="Arial" w:hAnsi="Arial" w:cs="Arial"/>
          <w:sz w:val="28"/>
        </w:rPr>
        <w:t>may</w:t>
      </w:r>
      <w:r w:rsidR="00A170EB" w:rsidRPr="008434E4">
        <w:rPr>
          <w:rFonts w:ascii="Arial" w:hAnsi="Arial" w:cs="Arial"/>
          <w:sz w:val="28"/>
        </w:rPr>
        <w:t xml:space="preserve"> ask questions of the objector(s), </w:t>
      </w:r>
      <w:proofErr w:type="gramStart"/>
      <w:r w:rsidR="00A170EB" w:rsidRPr="008434E4">
        <w:rPr>
          <w:rFonts w:ascii="Arial" w:hAnsi="Arial" w:cs="Arial"/>
          <w:sz w:val="28"/>
        </w:rPr>
        <w:t>witnesses</w:t>
      </w:r>
      <w:proofErr w:type="gramEnd"/>
      <w:r w:rsidR="00A170EB" w:rsidRPr="008434E4">
        <w:rPr>
          <w:rFonts w:ascii="Arial" w:hAnsi="Arial" w:cs="Arial"/>
          <w:sz w:val="28"/>
        </w:rPr>
        <w:t xml:space="preserve"> </w:t>
      </w:r>
      <w:r w:rsidR="0075571A" w:rsidRPr="008434E4">
        <w:rPr>
          <w:rFonts w:ascii="Arial" w:hAnsi="Arial" w:cs="Arial"/>
          <w:sz w:val="28"/>
        </w:rPr>
        <w:t>and/or their representatives.</w:t>
      </w:r>
    </w:p>
    <w:p w14:paraId="252E6612" w14:textId="77777777" w:rsidR="00483D0A" w:rsidRPr="008434E4" w:rsidRDefault="00483D0A" w:rsidP="00483D0A">
      <w:pPr>
        <w:spacing w:after="20"/>
        <w:ind w:left="360"/>
        <w:rPr>
          <w:rFonts w:ascii="Arial" w:hAnsi="Arial" w:cs="Arial"/>
          <w:sz w:val="28"/>
        </w:rPr>
      </w:pPr>
    </w:p>
    <w:p w14:paraId="000E785D" w14:textId="77777777" w:rsidR="0075571A" w:rsidRPr="008434E4" w:rsidRDefault="0075571A" w:rsidP="00483D0A">
      <w:pPr>
        <w:pStyle w:val="ListParagraph"/>
        <w:numPr>
          <w:ilvl w:val="0"/>
          <w:numId w:val="3"/>
        </w:numPr>
        <w:spacing w:after="20"/>
        <w:rPr>
          <w:rFonts w:ascii="Arial" w:hAnsi="Arial" w:cs="Arial"/>
          <w:sz w:val="28"/>
          <w:u w:val="single"/>
        </w:rPr>
      </w:pPr>
      <w:r w:rsidRPr="008434E4">
        <w:rPr>
          <w:rFonts w:ascii="Arial" w:hAnsi="Arial" w:cs="Arial"/>
          <w:sz w:val="28"/>
        </w:rPr>
        <w:t xml:space="preserve">The Chair will then ask the applicant if, </w:t>
      </w:r>
      <w:proofErr w:type="gramStart"/>
      <w:r w:rsidRPr="008434E4">
        <w:rPr>
          <w:rFonts w:ascii="Arial" w:hAnsi="Arial" w:cs="Arial"/>
          <w:sz w:val="28"/>
        </w:rPr>
        <w:t>in light of</w:t>
      </w:r>
      <w:proofErr w:type="gramEnd"/>
      <w:r w:rsidRPr="008434E4">
        <w:rPr>
          <w:rFonts w:ascii="Arial" w:hAnsi="Arial" w:cs="Arial"/>
          <w:sz w:val="28"/>
        </w:rPr>
        <w:t xml:space="preserve"> the representations, they wish to amend the application. </w:t>
      </w:r>
      <w:r w:rsidRPr="008434E4">
        <w:rPr>
          <w:rFonts w:ascii="Arial" w:hAnsi="Arial" w:cs="Arial"/>
          <w:b/>
          <w:sz w:val="28"/>
          <w:u w:val="single"/>
        </w:rPr>
        <w:t>The Panel will only consider the application laid before it during decision making.</w:t>
      </w:r>
    </w:p>
    <w:p w14:paraId="462C47A0" w14:textId="77777777" w:rsidR="0075571A" w:rsidRPr="008434E4" w:rsidRDefault="0075571A" w:rsidP="00483D0A">
      <w:pPr>
        <w:pStyle w:val="ListParagraph"/>
        <w:spacing w:after="20"/>
        <w:rPr>
          <w:rFonts w:ascii="Arial" w:hAnsi="Arial" w:cs="Arial"/>
          <w:sz w:val="28"/>
          <w:u w:val="single"/>
        </w:rPr>
      </w:pPr>
    </w:p>
    <w:p w14:paraId="2BC495AD" w14:textId="77777777" w:rsidR="0075571A" w:rsidRPr="008434E4" w:rsidRDefault="0075571A" w:rsidP="00483D0A">
      <w:pPr>
        <w:pStyle w:val="ListParagraph"/>
        <w:numPr>
          <w:ilvl w:val="0"/>
          <w:numId w:val="3"/>
        </w:numPr>
        <w:spacing w:after="20"/>
        <w:rPr>
          <w:rFonts w:ascii="Arial" w:hAnsi="Arial" w:cs="Arial"/>
          <w:sz w:val="28"/>
        </w:rPr>
      </w:pPr>
      <w:r w:rsidRPr="008434E4">
        <w:rPr>
          <w:rFonts w:ascii="Arial" w:hAnsi="Arial" w:cs="Arial"/>
          <w:sz w:val="28"/>
        </w:rPr>
        <w:t>Summing up:</w:t>
      </w:r>
    </w:p>
    <w:p w14:paraId="2FAED914" w14:textId="77777777" w:rsidR="0075571A" w:rsidRPr="008434E4" w:rsidRDefault="00E8669F" w:rsidP="00E8669F">
      <w:pPr>
        <w:pStyle w:val="ListParagraph"/>
        <w:numPr>
          <w:ilvl w:val="0"/>
          <w:numId w:val="10"/>
        </w:numPr>
        <w:spacing w:after="20"/>
        <w:rPr>
          <w:rFonts w:ascii="Arial" w:hAnsi="Arial" w:cs="Arial"/>
          <w:sz w:val="28"/>
        </w:rPr>
      </w:pPr>
      <w:r w:rsidRPr="008434E4">
        <w:rPr>
          <w:rFonts w:ascii="Arial" w:hAnsi="Arial" w:cs="Arial"/>
          <w:sz w:val="28"/>
        </w:rPr>
        <w:t>Objector(s) Case(s)</w:t>
      </w:r>
      <w:r w:rsidRPr="008434E4">
        <w:rPr>
          <w:rFonts w:ascii="Arial" w:hAnsi="Arial" w:cs="Arial"/>
          <w:sz w:val="28"/>
        </w:rPr>
        <w:br/>
      </w:r>
    </w:p>
    <w:p w14:paraId="61CA95D3" w14:textId="77777777" w:rsidR="00E8669F" w:rsidRPr="008434E4" w:rsidRDefault="00E8669F" w:rsidP="00E8669F">
      <w:pPr>
        <w:pStyle w:val="ListParagraph"/>
        <w:numPr>
          <w:ilvl w:val="0"/>
          <w:numId w:val="10"/>
        </w:numPr>
        <w:spacing w:after="20"/>
        <w:rPr>
          <w:rFonts w:ascii="Arial" w:hAnsi="Arial" w:cs="Arial"/>
          <w:sz w:val="28"/>
        </w:rPr>
      </w:pPr>
      <w:r w:rsidRPr="008434E4">
        <w:rPr>
          <w:rFonts w:ascii="Arial" w:hAnsi="Arial" w:cs="Arial"/>
          <w:sz w:val="28"/>
        </w:rPr>
        <w:t>Applicant(s) Case</w:t>
      </w:r>
      <w:r w:rsidRPr="008434E4">
        <w:rPr>
          <w:rFonts w:ascii="Arial" w:hAnsi="Arial" w:cs="Arial"/>
          <w:sz w:val="28"/>
        </w:rPr>
        <w:br/>
      </w:r>
    </w:p>
    <w:p w14:paraId="33E2BD62" w14:textId="77777777" w:rsidR="0075571A" w:rsidRPr="008434E4" w:rsidRDefault="0075571A" w:rsidP="00483D0A">
      <w:pPr>
        <w:pStyle w:val="ListParagraph"/>
        <w:numPr>
          <w:ilvl w:val="0"/>
          <w:numId w:val="3"/>
        </w:numPr>
        <w:spacing w:after="20"/>
        <w:rPr>
          <w:rFonts w:ascii="Arial" w:hAnsi="Arial" w:cs="Arial"/>
          <w:sz w:val="28"/>
        </w:rPr>
      </w:pPr>
      <w:r w:rsidRPr="008434E4">
        <w:rPr>
          <w:rFonts w:ascii="Arial" w:hAnsi="Arial" w:cs="Arial"/>
          <w:sz w:val="28"/>
        </w:rPr>
        <w:t>Conclusion</w:t>
      </w:r>
    </w:p>
    <w:p w14:paraId="1C882A80" w14:textId="0C92C878" w:rsidR="00E8669F" w:rsidRDefault="0075571A" w:rsidP="00E8669F">
      <w:pPr>
        <w:spacing w:after="20"/>
        <w:ind w:left="720"/>
        <w:rPr>
          <w:rFonts w:ascii="Arial" w:hAnsi="Arial" w:cs="Arial"/>
          <w:sz w:val="28"/>
        </w:rPr>
      </w:pPr>
      <w:r w:rsidRPr="008434E4">
        <w:rPr>
          <w:rFonts w:ascii="Arial" w:hAnsi="Arial" w:cs="Arial"/>
          <w:sz w:val="28"/>
        </w:rPr>
        <w:t>The Chair will ask the Licensing Authority Legal Representative whether there are any other matters to be raised or resolved before the hearing is closed for deliberations.</w:t>
      </w:r>
    </w:p>
    <w:p w14:paraId="76214B01" w14:textId="76475408" w:rsidR="00AF3A48" w:rsidRDefault="00AF3A48" w:rsidP="00E8669F">
      <w:pPr>
        <w:spacing w:after="20"/>
        <w:ind w:left="720"/>
        <w:rPr>
          <w:rFonts w:ascii="Arial" w:hAnsi="Arial" w:cs="Arial"/>
          <w:sz w:val="28"/>
        </w:rPr>
      </w:pPr>
    </w:p>
    <w:p w14:paraId="296F9BB0" w14:textId="39B46E41" w:rsidR="00AF3A48" w:rsidRDefault="00AF3A48" w:rsidP="00E8669F">
      <w:pPr>
        <w:spacing w:after="20"/>
        <w:ind w:left="720"/>
        <w:rPr>
          <w:rFonts w:ascii="Arial" w:hAnsi="Arial" w:cs="Arial"/>
          <w:sz w:val="28"/>
        </w:rPr>
      </w:pPr>
    </w:p>
    <w:p w14:paraId="59F679BF" w14:textId="77777777" w:rsidR="00AF3A48" w:rsidRPr="008434E4" w:rsidRDefault="00AF3A48" w:rsidP="00E8669F">
      <w:pPr>
        <w:spacing w:after="20"/>
        <w:ind w:left="720"/>
        <w:rPr>
          <w:rFonts w:ascii="Arial" w:hAnsi="Arial" w:cs="Arial"/>
          <w:sz w:val="28"/>
        </w:rPr>
      </w:pPr>
    </w:p>
    <w:p w14:paraId="2ED3386F" w14:textId="77777777" w:rsidR="00E8669F" w:rsidRPr="008434E4" w:rsidRDefault="00E8669F" w:rsidP="00E8669F">
      <w:pPr>
        <w:spacing w:after="20"/>
        <w:ind w:left="720"/>
        <w:rPr>
          <w:rFonts w:ascii="Arial" w:hAnsi="Arial" w:cs="Arial"/>
          <w:sz w:val="28"/>
        </w:rPr>
      </w:pPr>
    </w:p>
    <w:p w14:paraId="7828BC2F" w14:textId="77777777" w:rsidR="00E8669F" w:rsidRPr="008434E4" w:rsidRDefault="00E8669F" w:rsidP="00E8669F">
      <w:pPr>
        <w:pStyle w:val="ListParagraph"/>
        <w:numPr>
          <w:ilvl w:val="0"/>
          <w:numId w:val="3"/>
        </w:numPr>
        <w:spacing w:after="20"/>
        <w:jc w:val="both"/>
        <w:rPr>
          <w:rFonts w:ascii="Arial" w:hAnsi="Arial" w:cs="Arial"/>
          <w:sz w:val="28"/>
        </w:rPr>
      </w:pPr>
      <w:r w:rsidRPr="008434E4">
        <w:rPr>
          <w:rFonts w:ascii="Arial" w:hAnsi="Arial" w:cs="Arial"/>
          <w:sz w:val="28"/>
        </w:rPr>
        <w:t xml:space="preserve"> Deliberations</w:t>
      </w:r>
    </w:p>
    <w:p w14:paraId="4DC84A50" w14:textId="77777777" w:rsidR="0075571A" w:rsidRPr="008434E4" w:rsidRDefault="0075571A" w:rsidP="00E8669F">
      <w:pPr>
        <w:spacing w:after="20"/>
        <w:ind w:left="720"/>
        <w:rPr>
          <w:rFonts w:ascii="Arial" w:hAnsi="Arial" w:cs="Arial"/>
          <w:sz w:val="28"/>
        </w:rPr>
      </w:pPr>
      <w:proofErr w:type="gramStart"/>
      <w:r w:rsidRPr="008434E4">
        <w:rPr>
          <w:rFonts w:ascii="Arial" w:hAnsi="Arial" w:cs="Arial"/>
          <w:sz w:val="28"/>
        </w:rPr>
        <w:t>Generally</w:t>
      </w:r>
      <w:proofErr w:type="gramEnd"/>
      <w:r w:rsidRPr="008434E4">
        <w:rPr>
          <w:rFonts w:ascii="Arial" w:hAnsi="Arial" w:cs="Arial"/>
          <w:sz w:val="28"/>
        </w:rPr>
        <w:t xml:space="preserve"> the public and the applicant will be excluded when the Panel is determining the hearing decision. </w:t>
      </w:r>
    </w:p>
    <w:p w14:paraId="17D7C6FE" w14:textId="77777777" w:rsidR="00F97912" w:rsidRPr="008434E4" w:rsidRDefault="00F97912" w:rsidP="00F97912">
      <w:pPr>
        <w:spacing w:after="20"/>
        <w:rPr>
          <w:rFonts w:ascii="Arial" w:hAnsi="Arial" w:cs="Arial"/>
          <w:sz w:val="28"/>
        </w:rPr>
      </w:pPr>
    </w:p>
    <w:p w14:paraId="4BF9AF47" w14:textId="60E383E8" w:rsidR="00EF2592" w:rsidRPr="008434E4" w:rsidRDefault="00EF2592" w:rsidP="00EF2592">
      <w:pPr>
        <w:pStyle w:val="ListParagraph"/>
        <w:numPr>
          <w:ilvl w:val="0"/>
          <w:numId w:val="3"/>
        </w:numPr>
        <w:spacing w:after="20"/>
        <w:rPr>
          <w:rFonts w:ascii="Arial" w:hAnsi="Arial" w:cs="Arial"/>
          <w:sz w:val="28"/>
        </w:rPr>
      </w:pPr>
      <w:r w:rsidRPr="008434E4">
        <w:rPr>
          <w:rFonts w:ascii="Arial" w:hAnsi="Arial" w:cs="Arial"/>
          <w:sz w:val="28"/>
        </w:rPr>
        <w:t>Notice of Decision</w:t>
      </w:r>
      <w:r w:rsidRPr="008434E4">
        <w:rPr>
          <w:rFonts w:ascii="Arial" w:hAnsi="Arial" w:cs="Arial"/>
          <w:sz w:val="28"/>
        </w:rPr>
        <w:br/>
        <w:t xml:space="preserve"> The decision will be issued to the applicant and any interested parties five working days after</w:t>
      </w:r>
      <w:r w:rsidR="008434E4">
        <w:rPr>
          <w:rFonts w:ascii="Arial" w:hAnsi="Arial" w:cs="Arial"/>
          <w:sz w:val="28"/>
        </w:rPr>
        <w:t xml:space="preserve"> </w:t>
      </w:r>
      <w:r w:rsidRPr="008434E4">
        <w:rPr>
          <w:rFonts w:ascii="Arial" w:hAnsi="Arial" w:cs="Arial"/>
          <w:sz w:val="28"/>
        </w:rPr>
        <w:t>the Hearing meeting.</w:t>
      </w:r>
    </w:p>
    <w:p w14:paraId="44C608B1" w14:textId="77777777" w:rsidR="00F97912" w:rsidRPr="008434E4" w:rsidRDefault="00F97912" w:rsidP="00F97912">
      <w:pPr>
        <w:spacing w:after="20"/>
        <w:rPr>
          <w:rFonts w:ascii="Arial" w:hAnsi="Arial" w:cs="Arial"/>
          <w:sz w:val="24"/>
        </w:rPr>
      </w:pPr>
    </w:p>
    <w:p w14:paraId="7C48363B" w14:textId="77777777" w:rsidR="00F97912" w:rsidRPr="008434E4" w:rsidRDefault="00F97912" w:rsidP="00F97912">
      <w:pPr>
        <w:spacing w:after="20"/>
        <w:rPr>
          <w:rFonts w:ascii="Arial" w:hAnsi="Arial" w:cs="Arial"/>
          <w:sz w:val="24"/>
        </w:rPr>
      </w:pPr>
    </w:p>
    <w:p w14:paraId="79555DA8" w14:textId="77777777" w:rsidR="00F97912" w:rsidRPr="008434E4" w:rsidRDefault="00F97912" w:rsidP="00F97912">
      <w:pPr>
        <w:spacing w:after="20"/>
        <w:rPr>
          <w:rFonts w:ascii="Arial" w:hAnsi="Arial" w:cs="Arial"/>
          <w:sz w:val="24"/>
        </w:rPr>
      </w:pPr>
    </w:p>
    <w:sectPr w:rsidR="00F97912" w:rsidRPr="008434E4" w:rsidSect="00483D0A">
      <w:pgSz w:w="11906" w:h="16838"/>
      <w:pgMar w:top="142" w:right="42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FC73" w14:textId="77777777" w:rsidR="003156A7" w:rsidRDefault="003156A7" w:rsidP="00B74D8B">
      <w:pPr>
        <w:spacing w:after="0" w:line="240" w:lineRule="auto"/>
      </w:pPr>
      <w:r>
        <w:separator/>
      </w:r>
    </w:p>
  </w:endnote>
  <w:endnote w:type="continuationSeparator" w:id="0">
    <w:p w14:paraId="4EA54799" w14:textId="77777777" w:rsidR="003156A7" w:rsidRDefault="003156A7" w:rsidP="00B7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E8A8" w14:textId="77777777" w:rsidR="003156A7" w:rsidRDefault="003156A7" w:rsidP="00B74D8B">
      <w:pPr>
        <w:spacing w:after="0" w:line="240" w:lineRule="auto"/>
      </w:pPr>
      <w:r>
        <w:separator/>
      </w:r>
    </w:p>
  </w:footnote>
  <w:footnote w:type="continuationSeparator" w:id="0">
    <w:p w14:paraId="55C1166B" w14:textId="77777777" w:rsidR="003156A7" w:rsidRDefault="003156A7" w:rsidP="00B74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05F"/>
    <w:multiLevelType w:val="hybridMultilevel"/>
    <w:tmpl w:val="4B0EBAC4"/>
    <w:lvl w:ilvl="0" w:tplc="B99ABDFE">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F67190"/>
    <w:multiLevelType w:val="hybridMultilevel"/>
    <w:tmpl w:val="C94E5B94"/>
    <w:lvl w:ilvl="0" w:tplc="ACA0F912">
      <w:start w:val="1"/>
      <w:numFmt w:val="upperLetter"/>
      <w:lvlText w:val="%1)"/>
      <w:lvlJc w:val="left"/>
      <w:pPr>
        <w:ind w:left="1440" w:hanging="72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021473"/>
    <w:multiLevelType w:val="hybridMultilevel"/>
    <w:tmpl w:val="120CBCFE"/>
    <w:lvl w:ilvl="0" w:tplc="86584C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BE181B"/>
    <w:multiLevelType w:val="hybridMultilevel"/>
    <w:tmpl w:val="FBB02B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A5163E"/>
    <w:multiLevelType w:val="hybridMultilevel"/>
    <w:tmpl w:val="467A4D24"/>
    <w:lvl w:ilvl="0" w:tplc="25BAD364">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E76AC8"/>
    <w:multiLevelType w:val="hybridMultilevel"/>
    <w:tmpl w:val="F96E9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E0187"/>
    <w:multiLevelType w:val="hybridMultilevel"/>
    <w:tmpl w:val="ED022740"/>
    <w:lvl w:ilvl="0" w:tplc="644C2244">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697A0F"/>
    <w:multiLevelType w:val="hybridMultilevel"/>
    <w:tmpl w:val="7A941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211CF"/>
    <w:multiLevelType w:val="hybridMultilevel"/>
    <w:tmpl w:val="C79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03C9B"/>
    <w:multiLevelType w:val="hybridMultilevel"/>
    <w:tmpl w:val="BFD4A494"/>
    <w:lvl w:ilvl="0" w:tplc="67327E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5"/>
  </w:num>
  <w:num w:numId="3">
    <w:abstractNumId w:val="6"/>
  </w:num>
  <w:num w:numId="4">
    <w:abstractNumId w:val="9"/>
  </w:num>
  <w:num w:numId="5">
    <w:abstractNumId w:val="1"/>
  </w:num>
  <w:num w:numId="6">
    <w:abstractNumId w:val="2"/>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8B"/>
    <w:rsid w:val="00043509"/>
    <w:rsid w:val="00102644"/>
    <w:rsid w:val="00294B56"/>
    <w:rsid w:val="002E1441"/>
    <w:rsid w:val="003156A7"/>
    <w:rsid w:val="00317709"/>
    <w:rsid w:val="00380FD4"/>
    <w:rsid w:val="003F380E"/>
    <w:rsid w:val="00483D0A"/>
    <w:rsid w:val="00493A69"/>
    <w:rsid w:val="005403F1"/>
    <w:rsid w:val="00561346"/>
    <w:rsid w:val="005D6EC1"/>
    <w:rsid w:val="00641CCF"/>
    <w:rsid w:val="00651A0B"/>
    <w:rsid w:val="006C61AD"/>
    <w:rsid w:val="00700302"/>
    <w:rsid w:val="00701FBA"/>
    <w:rsid w:val="007063EC"/>
    <w:rsid w:val="00753032"/>
    <w:rsid w:val="0075571A"/>
    <w:rsid w:val="00783EB2"/>
    <w:rsid w:val="008434E4"/>
    <w:rsid w:val="00881EF0"/>
    <w:rsid w:val="008B070B"/>
    <w:rsid w:val="008D4EA0"/>
    <w:rsid w:val="009C3317"/>
    <w:rsid w:val="009C47CF"/>
    <w:rsid w:val="00A1216F"/>
    <w:rsid w:val="00A170EB"/>
    <w:rsid w:val="00AF3A48"/>
    <w:rsid w:val="00B74D8B"/>
    <w:rsid w:val="00C07D19"/>
    <w:rsid w:val="00C90564"/>
    <w:rsid w:val="00CD005C"/>
    <w:rsid w:val="00CF1279"/>
    <w:rsid w:val="00E44C17"/>
    <w:rsid w:val="00E52F01"/>
    <w:rsid w:val="00E70350"/>
    <w:rsid w:val="00E8669F"/>
    <w:rsid w:val="00EF2592"/>
    <w:rsid w:val="00F32580"/>
    <w:rsid w:val="00F9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C50D"/>
  <w15:chartTrackingRefBased/>
  <w15:docId w15:val="{DF882CB9-6D97-4BC0-B63B-C9AFDD0F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D8B"/>
  </w:style>
  <w:style w:type="paragraph" w:styleId="Footer">
    <w:name w:val="footer"/>
    <w:basedOn w:val="Normal"/>
    <w:link w:val="FooterChar"/>
    <w:uiPriority w:val="99"/>
    <w:unhideWhenUsed/>
    <w:rsid w:val="00B74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D8B"/>
  </w:style>
  <w:style w:type="paragraph" w:styleId="ListParagraph">
    <w:name w:val="List Paragraph"/>
    <w:basedOn w:val="Normal"/>
    <w:uiPriority w:val="34"/>
    <w:qFormat/>
    <w:rsid w:val="00B74D8B"/>
    <w:pPr>
      <w:ind w:left="720"/>
      <w:contextualSpacing/>
    </w:pPr>
  </w:style>
  <w:style w:type="paragraph" w:styleId="BalloonText">
    <w:name w:val="Balloon Text"/>
    <w:basedOn w:val="Normal"/>
    <w:link w:val="BalloonTextChar"/>
    <w:uiPriority w:val="99"/>
    <w:semiHidden/>
    <w:unhideWhenUsed/>
    <w:rsid w:val="0056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26C8-90BB-4A98-9909-8A5CB564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Clare</cp:lastModifiedBy>
  <cp:revision>3</cp:revision>
  <cp:lastPrinted>2019-03-11T10:38:00Z</cp:lastPrinted>
  <dcterms:created xsi:type="dcterms:W3CDTF">2023-07-13T12:16:00Z</dcterms:created>
  <dcterms:modified xsi:type="dcterms:W3CDTF">2023-07-13T12:17:00Z</dcterms:modified>
</cp:coreProperties>
</file>